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81" w:rsidRPr="00376181" w:rsidRDefault="00376181" w:rsidP="00376181">
      <w:pPr>
        <w:spacing w:after="300" w:line="240" w:lineRule="auto"/>
        <w:outlineLvl w:val="2"/>
        <w:rPr>
          <w:rFonts w:ascii="Arial" w:eastAsia="Times New Roman" w:hAnsi="Arial" w:cs="Arial"/>
          <w:sz w:val="29"/>
          <w:szCs w:val="29"/>
          <w:lang w:eastAsia="ru-RU"/>
        </w:rPr>
      </w:pPr>
      <w:r w:rsidRPr="00376181">
        <w:rPr>
          <w:rFonts w:ascii="Arial" w:eastAsia="Times New Roman" w:hAnsi="Arial" w:cs="Arial"/>
          <w:sz w:val="29"/>
          <w:szCs w:val="29"/>
          <w:lang w:eastAsia="ru-RU"/>
        </w:rPr>
        <w:t>Постановление Министерства конкурентной политики и тарифов Калужской области от 22 августа 2012 года № 149-эк.</w:t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sz w:val="19"/>
          <w:szCs w:val="19"/>
          <w:lang w:eastAsia="ru-RU"/>
        </w:rPr>
        <w:drawing>
          <wp:inline distT="0" distB="0" distL="0" distR="0">
            <wp:extent cx="895350" cy="914400"/>
            <wp:effectExtent l="19050" t="0" r="0" b="0"/>
            <wp:docPr id="1" name="Рисунок 1" descr="http://www.ksc.kaluga.ru/images/photo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c.kaluga.ru/images/photo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ПОСТАНОВЛЕНИЕ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МИНИСТЕРСТВА КОНКУРЕНТНОЙ ПОЛИТИКИ И ТАРИФОВ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КАЛУЖСКОЙ ОБЛАСТИ</w:t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22 августа 2012 года                                                                                                           № 149-эк</w:t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Об утверждении нормативов потребления коммунальных услуг в жилых помещениях и нормативов потребления коммунальных услуг на </w:t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общедомовые</w:t>
      </w:r>
      <w:proofErr w:type="spell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 нужды по электроснабжению с применением расчетного метода для граждан Калужской области при отсутствии приборов учета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(в редакции постановления Министерства тарифного регулирования Калужской области от 30.09.2013 № 134-эк, с изменениями, внесенными решением Калужского областного суда от 24.04.2013 № ГК-3-06/2013)</w:t>
      </w:r>
    </w:p>
    <w:p w:rsidR="00376181" w:rsidRPr="00376181" w:rsidRDefault="00376181" w:rsidP="00376181">
      <w:pPr>
        <w:spacing w:after="30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376181">
        <w:rPr>
          <w:rFonts w:ascii="Arial" w:eastAsia="Times New Roman" w:hAnsi="Arial" w:cs="Arial"/>
          <w:sz w:val="19"/>
          <w:szCs w:val="19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 (в редакции постановления Правительства Российской Федерации от 28 марта 2012 года № 258), Законом Калужской области от 8 ноября 2010 года № 62-ОЗ «Об органе государственной власти Калужской области, уполномоченном на утверждение нормативов потребления коммунальных</w:t>
      </w:r>
      <w:proofErr w:type="gramEnd"/>
      <w:r w:rsidRPr="00376181">
        <w:rPr>
          <w:rFonts w:ascii="Arial" w:eastAsia="Times New Roman" w:hAnsi="Arial" w:cs="Arial"/>
          <w:sz w:val="19"/>
          <w:szCs w:val="19"/>
          <w:lang w:eastAsia="ru-RU"/>
        </w:rPr>
        <w:t xml:space="preserve"> услуг» и в целях реализации постановления Правительства Российской Федерации «О предоставлении коммунальных услуг собственникам и пользователям помещений в многоквартирных домах и жилых домов» от 6 мая 2011 года № 354 министерство конкурентной политики и тарифов Калужской области</w:t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ПОСТАНОВЛЯЕТ:</w:t>
      </w:r>
    </w:p>
    <w:p w:rsidR="00376181" w:rsidRPr="00376181" w:rsidRDefault="00376181" w:rsidP="00376181">
      <w:pPr>
        <w:spacing w:after="30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 xml:space="preserve">1. Утвердить нормативы потребления коммунальных услуг в жилых помещениях и нормативы потребления коммунальных услуг на </w:t>
      </w:r>
      <w:proofErr w:type="spellStart"/>
      <w:r w:rsidRPr="00376181">
        <w:rPr>
          <w:rFonts w:ascii="Arial" w:eastAsia="Times New Roman" w:hAnsi="Arial" w:cs="Arial"/>
          <w:sz w:val="19"/>
          <w:szCs w:val="19"/>
          <w:lang w:eastAsia="ru-RU"/>
        </w:rPr>
        <w:t>общедомовые</w:t>
      </w:r>
      <w:proofErr w:type="spellEnd"/>
      <w:r w:rsidRPr="00376181">
        <w:rPr>
          <w:rFonts w:ascii="Arial" w:eastAsia="Times New Roman" w:hAnsi="Arial" w:cs="Arial"/>
          <w:sz w:val="19"/>
          <w:szCs w:val="19"/>
          <w:lang w:eastAsia="ru-RU"/>
        </w:rPr>
        <w:t xml:space="preserve"> нужды по электроснабжению с применением расчетного метода для граждан Калужской области при отсутствии приборов учета согласно приложению № 1.</w:t>
      </w:r>
    </w:p>
    <w:p w:rsidR="00376181" w:rsidRPr="00376181" w:rsidRDefault="00376181" w:rsidP="00376181">
      <w:pPr>
        <w:spacing w:after="30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 xml:space="preserve">2. </w:t>
      </w:r>
      <w:proofErr w:type="gramStart"/>
      <w:r w:rsidRPr="00376181">
        <w:rPr>
          <w:rFonts w:ascii="Arial" w:eastAsia="Times New Roman" w:hAnsi="Arial" w:cs="Arial"/>
          <w:sz w:val="19"/>
          <w:szCs w:val="19"/>
          <w:lang w:eastAsia="ru-RU"/>
        </w:rPr>
        <w:t>Признать утратившими силу постановление министерства конкурентной политики и тарифов Калужской области от 21 декабря 2007 года № 201-эк «Об утверждении нормативов потребления коммунальной услуги по электроснабжению при отсутствии приборов учета в Калужской области», постановление министерства конкурентной политики и тарифов Калужской области от 24.04.2009 № 32-эк «О внесении изменения в приложение № 1 к постановлению министерства конкурентной политики и тарифов Калужской области от 21.12.2007</w:t>
      </w:r>
      <w:proofErr w:type="gramEnd"/>
      <w:r w:rsidRPr="00376181">
        <w:rPr>
          <w:rFonts w:ascii="Arial" w:eastAsia="Times New Roman" w:hAnsi="Arial" w:cs="Arial"/>
          <w:sz w:val="19"/>
          <w:szCs w:val="19"/>
          <w:lang w:eastAsia="ru-RU"/>
        </w:rPr>
        <w:t xml:space="preserve"> № </w:t>
      </w:r>
      <w:proofErr w:type="gramStart"/>
      <w:r w:rsidRPr="00376181">
        <w:rPr>
          <w:rFonts w:ascii="Arial" w:eastAsia="Times New Roman" w:hAnsi="Arial" w:cs="Arial"/>
          <w:sz w:val="19"/>
          <w:szCs w:val="19"/>
          <w:lang w:eastAsia="ru-RU"/>
        </w:rPr>
        <w:t>201-эк «Об утверждении нормативов потребления коммунальной услуги по электроснабжению при отсутствии приборов учета в Калужской области», постановление министерства конкурентной политики и тарифов Калужской области от 04.03.2011 № 26-эк «О внесении изменений в постановление министерства конкурентной политики и тарифов Калужской области от 21 декабря 2007 года № 201-эк «Об утверждении нормативов потребления коммунальной услуги по электроснабжению при отсутствии приборов учета в Калужской области».</w:t>
      </w:r>
      <w:proofErr w:type="gramEnd"/>
    </w:p>
    <w:p w:rsidR="00376181" w:rsidRPr="00376181" w:rsidRDefault="00376181" w:rsidP="00376181">
      <w:pPr>
        <w:spacing w:after="30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lastRenderedPageBreak/>
        <w:t>3. Настоящее Постановление вступает в силу с момента официального опубликования и распространяется на правоотношения, возникшие с 1 сентября 2012 года.</w:t>
      </w:r>
    </w:p>
    <w:p w:rsidR="00376181" w:rsidRPr="00376181" w:rsidRDefault="00376181" w:rsidP="00376181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Министр конкурентной политики и тарифов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Калужской области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Н.В.Владимиров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Приложение № 1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к Постановлению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министерства конкурентной политики и тарифов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Калужской области</w:t>
      </w:r>
      <w:r w:rsidRPr="00376181">
        <w:rPr>
          <w:rFonts w:ascii="Arial" w:eastAsia="Times New Roman" w:hAnsi="Arial" w:cs="Arial"/>
          <w:sz w:val="19"/>
          <w:szCs w:val="19"/>
          <w:lang w:eastAsia="ru-RU"/>
        </w:rPr>
        <w:br/>
        <w:t>от 22 августа 2012 г. № 149-эк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I. НОРМАТИВЫ ПОТРЕБЛЕНИЯ КОММУНАЛЬНОЙ УСЛУГИ ПО ЭЛЕКТРОСНАБЖЕНИЮ В ЖИЛЫХ ПОМЕЩЕНИЯХ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1. Многоквартирные дома и жилые дома, оборудованные в установленном порядке стационарными газовыми плитами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1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квартире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125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2. Многоквартирные дома и жилые дома, оборудованные в установленном порядке стационарными электрическими плитами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2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квартире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177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69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3. Многоквартирные дома и жилые дома, оборудованные в установленном порядке стационарными газовыми плитами, с </w:t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электроводонагревателями</w:t>
      </w:r>
      <w:proofErr w:type="spell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 с изолированными трубопроводами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3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343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213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165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4. Многоквартирные дома и жилые дома, оборудованные в установленном порядке стационарными газовыми плитами, с </w:t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электроводонагревателями</w:t>
      </w:r>
      <w:proofErr w:type="spell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 с неизолированными трубопроводами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4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345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166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135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5. Многоквартирные дома и жилые дома, оборудованные в установленном порядке стационарными электрическими плитами, с </w:t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электроводонагревателями</w:t>
      </w:r>
      <w:proofErr w:type="spell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 с изолированными трубопроводами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lastRenderedPageBreak/>
        <w:t>Таблица 5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366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227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176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143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6. Многоквартирные дома и жилые дома, оборудованные в установленном порядке стационарными электрическими плитами, с </w:t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электроводонагревателями</w:t>
      </w:r>
      <w:proofErr w:type="spell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 xml:space="preserve"> с неизолированными трубопроводами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6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368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228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176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143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125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7. Жилые дома, не оборудованные в установленном порядке стационарными газовыми и электрическими плитами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7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148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71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8. Жилые помещения (коммунальные квартиры в многоквартирном доме)</w:t>
      </w:r>
    </w:p>
    <w:p w:rsidR="00376181" w:rsidRPr="00376181" w:rsidRDefault="00376181" w:rsidP="00376181">
      <w:pPr>
        <w:spacing w:after="300" w:line="240" w:lineRule="auto"/>
        <w:jc w:val="right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Таблица 8</w:t>
      </w:r>
      <w:r w:rsidRPr="00376181">
        <w:rPr>
          <w:rFonts w:ascii="Arial" w:eastAsia="Times New Roman" w:hAnsi="Arial" w:cs="Arial"/>
          <w:b/>
          <w:bCs/>
          <w:sz w:val="19"/>
          <w:szCs w:val="19"/>
          <w:lang w:eastAsia="ru-RU"/>
        </w:rPr>
        <w:br/>
      </w:r>
      <w:proofErr w:type="spell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кВт</w:t>
      </w:r>
      <w:proofErr w:type="gramStart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.ч</w:t>
      </w:r>
      <w:proofErr w:type="spellEnd"/>
      <w:proofErr w:type="gramEnd"/>
      <w:r w:rsidRPr="00376181">
        <w:rPr>
          <w:rFonts w:ascii="Arial" w:eastAsia="Times New Roman" w:hAnsi="Arial" w:cs="Arial"/>
          <w:b/>
          <w:bCs/>
          <w:sz w:val="19"/>
          <w:lang w:eastAsia="ru-RU"/>
        </w:rPr>
        <w:t>/месяц на 1 человека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80"/>
        <w:gridCol w:w="720"/>
        <w:gridCol w:w="720"/>
        <w:gridCol w:w="720"/>
        <w:gridCol w:w="720"/>
      </w:tblGrid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 xml:space="preserve"> № </w:t>
            </w:r>
            <w:proofErr w:type="spellStart"/>
            <w:proofErr w:type="gram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  <w:proofErr w:type="gramEnd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/</w:t>
            </w:r>
            <w:proofErr w:type="spellStart"/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человек, проживающих в комнате</w:t>
            </w:r>
          </w:p>
        </w:tc>
        <w:tc>
          <w:tcPr>
            <w:tcW w:w="28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Количество комнат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181" w:rsidRPr="00376181" w:rsidRDefault="00376181" w:rsidP="0037618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</w:t>
            </w:r>
          </w:p>
        </w:tc>
      </w:tr>
      <w:tr w:rsidR="00376181" w:rsidRPr="00376181" w:rsidTr="00376181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и более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181" w:rsidRPr="00376181" w:rsidRDefault="00376181" w:rsidP="00376181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7618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</w:t>
            </w:r>
          </w:p>
        </w:tc>
      </w:tr>
    </w:tbl>
    <w:p w:rsidR="00376181" w:rsidRPr="00376181" w:rsidRDefault="00376181" w:rsidP="00376181">
      <w:pPr>
        <w:spacing w:after="30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376181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sectPr w:rsidR="00376181" w:rsidRPr="00376181" w:rsidSect="008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81"/>
    <w:rsid w:val="00376181"/>
    <w:rsid w:val="00663D68"/>
    <w:rsid w:val="00810FA1"/>
    <w:rsid w:val="00C0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A1"/>
  </w:style>
  <w:style w:type="paragraph" w:styleId="3">
    <w:name w:val="heading 3"/>
    <w:basedOn w:val="a"/>
    <w:link w:val="30"/>
    <w:uiPriority w:val="9"/>
    <w:qFormat/>
    <w:rsid w:val="00376181"/>
    <w:pPr>
      <w:spacing w:after="300" w:line="240" w:lineRule="auto"/>
      <w:outlineLvl w:val="2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18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18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181"/>
    <w:rPr>
      <w:b/>
      <w:bCs/>
    </w:rPr>
  </w:style>
  <w:style w:type="paragraph" w:customStyle="1" w:styleId="conspluscell">
    <w:name w:val="conspluscell"/>
    <w:basedOn w:val="a"/>
    <w:rsid w:val="0037618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03366"/>
            <w:right w:val="none" w:sz="0" w:space="0" w:color="auto"/>
          </w:divBdr>
          <w:divsChild>
            <w:div w:id="2124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289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19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020">
                              <w:marLeft w:val="3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BUX04</dc:creator>
  <cp:keywords/>
  <dc:description/>
  <cp:lastModifiedBy>BUX04</cp:lastModifiedBy>
  <cp:revision>4</cp:revision>
  <dcterms:created xsi:type="dcterms:W3CDTF">2015-04-03T10:24:00Z</dcterms:created>
  <dcterms:modified xsi:type="dcterms:W3CDTF">2015-04-03T10:39:00Z</dcterms:modified>
</cp:coreProperties>
</file>